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C927F3" w14:paraId="0C067D80" w14:textId="77777777" w:rsidTr="00C927F3">
        <w:trPr>
          <w:tblCellSpacing w:w="0" w:type="dxa"/>
          <w:jc w:val="center"/>
        </w:trPr>
        <w:tc>
          <w:tcPr>
            <w:tcW w:w="0" w:type="auto"/>
            <w:shd w:val="clear" w:color="auto" w:fill="FFFFFF"/>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026"/>
            </w:tblGrid>
            <w:tr w:rsidR="00C927F3" w14:paraId="3EAF08EC" w14:textId="77777777">
              <w:trPr>
                <w:tblCellSpacing w:w="0" w:type="dxa"/>
              </w:trPr>
              <w:tc>
                <w:tcPr>
                  <w:tcW w:w="0" w:type="auto"/>
                  <w:shd w:val="clear" w:color="auto" w:fill="FFFFFF"/>
                  <w:hideMark/>
                </w:tcPr>
                <w:tbl>
                  <w:tblPr>
                    <w:tblW w:w="7800" w:type="dxa"/>
                    <w:jc w:val="center"/>
                    <w:tblCellSpacing w:w="0" w:type="dxa"/>
                    <w:tblCellMar>
                      <w:left w:w="0" w:type="dxa"/>
                      <w:right w:w="0" w:type="dxa"/>
                    </w:tblCellMar>
                    <w:tblLook w:val="04A0" w:firstRow="1" w:lastRow="0" w:firstColumn="1" w:lastColumn="0" w:noHBand="0" w:noVBand="1"/>
                  </w:tblPr>
                  <w:tblGrid>
                    <w:gridCol w:w="7800"/>
                  </w:tblGrid>
                  <w:tr w:rsidR="00C927F3" w14:paraId="50B753C8" w14:textId="77777777">
                    <w:trPr>
                      <w:tblCellSpacing w:w="0" w:type="dxa"/>
                      <w:jc w:val="center"/>
                    </w:trPr>
                    <w:tc>
                      <w:tcPr>
                        <w:tcW w:w="0" w:type="auto"/>
                        <w:shd w:val="clear" w:color="auto" w:fill="FFFFFF"/>
                        <w:hideMark/>
                      </w:tcPr>
                      <w:p w14:paraId="39AD8440" w14:textId="77777777" w:rsidR="00C927F3" w:rsidRDefault="00C927F3"/>
                    </w:tc>
                  </w:tr>
                  <w:tr w:rsidR="00C927F3" w14:paraId="7BAD533E" w14:textId="77777777">
                    <w:trPr>
                      <w:tblCellSpacing w:w="0" w:type="dxa"/>
                      <w:jc w:val="center"/>
                    </w:trPr>
                    <w:tc>
                      <w:tcPr>
                        <w:tcW w:w="0" w:type="auto"/>
                        <w:tcMar>
                          <w:top w:w="300" w:type="dxa"/>
                          <w:left w:w="300" w:type="dxa"/>
                          <w:bottom w:w="0" w:type="dxa"/>
                          <w:right w:w="300" w:type="dxa"/>
                        </w:tcMar>
                        <w:vAlign w:val="cente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7200"/>
                        </w:tblGrid>
                        <w:tr w:rsidR="00C927F3" w14:paraId="79145A30" w14:textId="77777777">
                          <w:trPr>
                            <w:tblCellSpacing w:w="0" w:type="dxa"/>
                          </w:trPr>
                          <w:tc>
                            <w:tcPr>
                              <w:tcW w:w="0" w:type="auto"/>
                              <w:tcMar>
                                <w:top w:w="75" w:type="dxa"/>
                                <w:left w:w="0" w:type="dxa"/>
                                <w:bottom w:w="225" w:type="dxa"/>
                                <w:right w:w="0" w:type="dxa"/>
                              </w:tcMar>
                              <w:vAlign w:val="center"/>
                              <w:hideMark/>
                            </w:tcPr>
                            <w:p w14:paraId="2415F2E7" w14:textId="77777777" w:rsidR="00C927F3" w:rsidRDefault="00C927F3">
                              <w:pPr>
                                <w:spacing w:line="375" w:lineRule="atLeast"/>
                                <w:rPr>
                                  <w:rFonts w:ascii="Arial" w:eastAsia="Times New Roman" w:hAnsi="Arial" w:cs="Arial"/>
                                  <w:color w:val="7A2182"/>
                                  <w:sz w:val="36"/>
                                  <w:szCs w:val="36"/>
                                </w:rPr>
                              </w:pPr>
                              <w:r>
                                <w:rPr>
                                  <w:rFonts w:ascii="Arial" w:eastAsia="Times New Roman" w:hAnsi="Arial" w:cs="Arial"/>
                                  <w:color w:val="7A2182"/>
                                  <w:sz w:val="36"/>
                                  <w:szCs w:val="36"/>
                                </w:rPr>
                                <w:t xml:space="preserve">CNV Voorstellen voor de nieuwe cao-DEKRA </w:t>
                              </w:r>
                            </w:p>
                          </w:tc>
                        </w:tr>
                        <w:tr w:rsidR="00C927F3" w14:paraId="2AF7C150" w14:textId="77777777">
                          <w:trPr>
                            <w:tblCellSpacing w:w="0" w:type="dxa"/>
                          </w:trPr>
                          <w:tc>
                            <w:tcPr>
                              <w:tcW w:w="0" w:type="auto"/>
                              <w:tcMar>
                                <w:top w:w="0" w:type="dxa"/>
                                <w:left w:w="0" w:type="dxa"/>
                                <w:bottom w:w="300" w:type="dxa"/>
                                <w:right w:w="0" w:type="dxa"/>
                              </w:tcMar>
                              <w:vAlign w:val="center"/>
                              <w:hideMark/>
                            </w:tcPr>
                            <w:p w14:paraId="1CD4CE36" w14:textId="77777777" w:rsidR="00C927F3" w:rsidRDefault="00C927F3">
                              <w:pPr>
                                <w:spacing w:line="270" w:lineRule="atLeast"/>
                                <w:rPr>
                                  <w:rFonts w:ascii="Arial" w:eastAsia="Times New Roman" w:hAnsi="Arial" w:cs="Arial"/>
                                  <w:b/>
                                  <w:bCs/>
                                  <w:color w:val="000000"/>
                                  <w:sz w:val="21"/>
                                  <w:szCs w:val="21"/>
                                </w:rPr>
                              </w:pPr>
                              <w:r>
                                <w:rPr>
                                  <w:rFonts w:ascii="Arial" w:eastAsia="Times New Roman" w:hAnsi="Arial" w:cs="Arial"/>
                                  <w:b/>
                                  <w:bCs/>
                                  <w:color w:val="000000"/>
                                  <w:sz w:val="21"/>
                                  <w:szCs w:val="21"/>
                                </w:rPr>
                                <w:t xml:space="preserve">Hieronder treft u de voorstellen van CNV Publieke Diensten aan voor de nieuwe cao DEKRA. </w:t>
                              </w:r>
                            </w:p>
                          </w:tc>
                        </w:tr>
                        <w:tr w:rsidR="00C927F3" w14:paraId="22845636" w14:textId="77777777">
                          <w:trPr>
                            <w:tblCellSpacing w:w="0" w:type="dxa"/>
                          </w:trPr>
                          <w:tc>
                            <w:tcPr>
                              <w:tcW w:w="0" w:type="auto"/>
                              <w:tcMar>
                                <w:top w:w="0" w:type="dxa"/>
                                <w:left w:w="0" w:type="dxa"/>
                                <w:bottom w:w="300" w:type="dxa"/>
                                <w:right w:w="0" w:type="dxa"/>
                              </w:tcMar>
                              <w:vAlign w:val="center"/>
                              <w:hideMark/>
                            </w:tcPr>
                            <w:p w14:paraId="7DBFEFC7" w14:textId="77777777" w:rsidR="00C927F3" w:rsidRDefault="00C927F3">
                              <w:pPr>
                                <w:spacing w:line="270" w:lineRule="atLeast"/>
                                <w:rPr>
                                  <w:rFonts w:ascii="Arial" w:eastAsia="Times New Roman" w:hAnsi="Arial" w:cs="Arial"/>
                                  <w:color w:val="000000"/>
                                  <w:sz w:val="21"/>
                                  <w:szCs w:val="21"/>
                                </w:rPr>
                              </w:pPr>
                              <w:r>
                                <w:rPr>
                                  <w:rFonts w:ascii="Arial" w:eastAsia="Times New Roman" w:hAnsi="Arial" w:cs="Arial"/>
                                  <w:color w:val="000000"/>
                                  <w:sz w:val="21"/>
                                  <w:szCs w:val="21"/>
                                </w:rPr>
                                <w:t>1. Looptijd 1 jaar.</w:t>
                              </w:r>
                              <w:r>
                                <w:rPr>
                                  <w:rFonts w:ascii="Arial" w:eastAsia="Times New Roman" w:hAnsi="Arial" w:cs="Arial"/>
                                  <w:color w:val="000000"/>
                                  <w:sz w:val="21"/>
                                  <w:szCs w:val="21"/>
                                </w:rPr>
                                <w:br/>
                                <w:t>Wij stellen een looptijd voor van 1 april 2024 tot en met 31 maart 2025.</w:t>
                              </w:r>
                              <w:r>
                                <w:rPr>
                                  <w:rFonts w:ascii="Arial" w:eastAsia="Times New Roman" w:hAnsi="Arial" w:cs="Arial"/>
                                  <w:color w:val="000000"/>
                                  <w:sz w:val="21"/>
                                  <w:szCs w:val="21"/>
                                </w:rPr>
                                <w:br/>
                              </w:r>
                              <w:r>
                                <w:rPr>
                                  <w:rFonts w:ascii="Arial" w:eastAsia="Times New Roman" w:hAnsi="Arial" w:cs="Arial"/>
                                  <w:color w:val="000000"/>
                                  <w:sz w:val="21"/>
                                  <w:szCs w:val="21"/>
                                </w:rPr>
                                <w:br/>
                                <w:t>2. Salaris</w:t>
                              </w:r>
                              <w:r>
                                <w:rPr>
                                  <w:rFonts w:ascii="Arial" w:eastAsia="Times New Roman" w:hAnsi="Arial" w:cs="Arial"/>
                                  <w:color w:val="000000"/>
                                  <w:sz w:val="21"/>
                                  <w:szCs w:val="21"/>
                                </w:rPr>
                                <w:br/>
                                <w:t>Wij stellen een loonstijging voor per 1 april 2024, gebaseerd op koopkrachtverbetering. Dit voorstel voor een algehele loonstijging is gebaseerd op de inflatie van afgelopen jaar. Met deze loonvraag willen wij minimaal het verlies in koopkracht dat geleden is door medewerkers compenseren. Bij de uiteindelijk te maken inkomensverbeteringsafspraak willen wij graag rekening houden met de grotere gevolgen van inflatie voor de lagere inkomens. Dat kan door het afspreken van nominale loonsverhogingen.</w:t>
                              </w:r>
                              <w:r>
                                <w:rPr>
                                  <w:rFonts w:ascii="Arial" w:eastAsia="Times New Roman" w:hAnsi="Arial" w:cs="Arial"/>
                                  <w:color w:val="000000"/>
                                  <w:sz w:val="21"/>
                                  <w:szCs w:val="21"/>
                                </w:rPr>
                                <w:br/>
                              </w:r>
                              <w:r>
                                <w:rPr>
                                  <w:rFonts w:ascii="Arial" w:eastAsia="Times New Roman" w:hAnsi="Arial" w:cs="Arial"/>
                                  <w:color w:val="000000"/>
                                  <w:sz w:val="21"/>
                                  <w:szCs w:val="21"/>
                                </w:rPr>
                                <w:br/>
                                <w:t>3. Aandacht voor de positie van vrouwen bij DEKRA</w:t>
                              </w:r>
                              <w:r>
                                <w:rPr>
                                  <w:rFonts w:ascii="Arial" w:eastAsia="Times New Roman" w:hAnsi="Arial" w:cs="Arial"/>
                                  <w:color w:val="000000"/>
                                  <w:sz w:val="21"/>
                                  <w:szCs w:val="21"/>
                                </w:rPr>
                                <w:br/>
                                <w:t>a. Uit algemeen onderzoek blijkt dat de loonkloof tussen mannen en vrouwen bestaat en zelfs groter wordt. CNV wil dat bij DEKRA onderzocht wordt of er onderscheid in beloning is en als dat zo is, hoe dit onderscheid ongedaan gemaakt kan worden.</w:t>
                              </w:r>
                              <w:r>
                                <w:rPr>
                                  <w:rFonts w:ascii="Arial" w:eastAsia="Times New Roman" w:hAnsi="Arial" w:cs="Arial"/>
                                  <w:color w:val="000000"/>
                                  <w:sz w:val="21"/>
                                  <w:szCs w:val="21"/>
                                </w:rPr>
                                <w:br/>
                                <w:t>b. Wij vragen aandacht en maatregelen voor de specifieke problemen waar vrouwelijke werknemers ten tijde van menstruatie en de overgang mee te maken krijgen. We vragen hiervoor maatwerk, wat betreft verlof of invullen van flexibele werktijden.</w:t>
                              </w:r>
                              <w:r>
                                <w:rPr>
                                  <w:rFonts w:ascii="Arial" w:eastAsia="Times New Roman" w:hAnsi="Arial" w:cs="Arial"/>
                                  <w:color w:val="000000"/>
                                  <w:sz w:val="21"/>
                                  <w:szCs w:val="21"/>
                                </w:rPr>
                                <w:br/>
                              </w:r>
                              <w:r>
                                <w:rPr>
                                  <w:rFonts w:ascii="Arial" w:eastAsia="Times New Roman" w:hAnsi="Arial" w:cs="Arial"/>
                                  <w:color w:val="000000"/>
                                  <w:sz w:val="21"/>
                                  <w:szCs w:val="21"/>
                                </w:rPr>
                                <w:br/>
                                <w:t>4. Pensioenregeling</w:t>
                              </w:r>
                              <w:r>
                                <w:rPr>
                                  <w:rFonts w:ascii="Arial" w:eastAsia="Times New Roman" w:hAnsi="Arial" w:cs="Arial"/>
                                  <w:color w:val="000000"/>
                                  <w:sz w:val="21"/>
                                  <w:szCs w:val="21"/>
                                </w:rPr>
                                <w:br/>
                                <w:t>CNV wil in gesprek met u om vast te stellen wat de status is van de pensioenregeling bij DEKRA in verhouding tot de WTP, en hoe werknemers daarover geïnformeerd worden. Indien blijkt dat er aanpassingen gedaan dienen te worden wil CNV daar afspraken over maken. Bij een eventuele verlaging van de pensioenpremie wenst CNV compensatie-afspraken te maken ten gunste van medewerkers.</w:t>
                              </w:r>
                              <w:r>
                                <w:rPr>
                                  <w:rFonts w:ascii="Arial" w:eastAsia="Times New Roman" w:hAnsi="Arial" w:cs="Arial"/>
                                  <w:color w:val="000000"/>
                                  <w:sz w:val="21"/>
                                  <w:szCs w:val="21"/>
                                </w:rPr>
                                <w:br/>
                              </w:r>
                              <w:r>
                                <w:rPr>
                                  <w:rFonts w:ascii="Arial" w:eastAsia="Times New Roman" w:hAnsi="Arial" w:cs="Arial"/>
                                  <w:color w:val="000000"/>
                                  <w:sz w:val="21"/>
                                  <w:szCs w:val="21"/>
                                </w:rPr>
                                <w:br/>
                                <w:t>5. Positie flexwerker</w:t>
                              </w:r>
                              <w:r>
                                <w:rPr>
                                  <w:rFonts w:ascii="Arial" w:eastAsia="Times New Roman" w:hAnsi="Arial" w:cs="Arial"/>
                                  <w:color w:val="000000"/>
                                  <w:sz w:val="21"/>
                                  <w:szCs w:val="21"/>
                                </w:rPr>
                                <w:br/>
                                <w:t>CNV wil graag weten wat de omvang van het aantal flexwerkers is, alsook waar zij aan het werk zijn bij DEKRA. Daarnaast willen wij ook geïnformeerd worden over de arbeidsvoorwaardelijke positie van flexwerkers.</w:t>
                              </w:r>
                              <w:r>
                                <w:rPr>
                                  <w:rFonts w:ascii="Arial" w:eastAsia="Times New Roman" w:hAnsi="Arial" w:cs="Arial"/>
                                  <w:color w:val="000000"/>
                                  <w:sz w:val="21"/>
                                  <w:szCs w:val="21"/>
                                </w:rPr>
                                <w:br/>
                              </w:r>
                              <w:r>
                                <w:rPr>
                                  <w:rFonts w:ascii="Arial" w:eastAsia="Times New Roman" w:hAnsi="Arial" w:cs="Arial"/>
                                  <w:color w:val="000000"/>
                                  <w:sz w:val="21"/>
                                  <w:szCs w:val="21"/>
                                </w:rPr>
                                <w:br/>
                                <w:t>6. Voorkomen van werkdruk</w:t>
                              </w:r>
                              <w:r>
                                <w:rPr>
                                  <w:rFonts w:ascii="Arial" w:eastAsia="Times New Roman" w:hAnsi="Arial" w:cs="Arial"/>
                                  <w:color w:val="000000"/>
                                  <w:sz w:val="21"/>
                                  <w:szCs w:val="21"/>
                                </w:rPr>
                                <w:br/>
                                <w:t xml:space="preserve">Uit het onderzoek dat wij onder werknemers hebben gehouden blijkt dat er een grote mate is van werkdrukbeleving. Wij willen in de cao opnemen dat er concrete maatregelen worden genomen om de werkdruk te verlagen. Zo is overwerk alleen op vrijwillige basis mogelijk en alle overwerk dient geregistreerd te worden. Ook willen wij onafhankelijk onderzoek naar de </w:t>
                              </w:r>
                              <w:r>
                                <w:rPr>
                                  <w:rFonts w:ascii="Arial" w:eastAsia="Times New Roman" w:hAnsi="Arial" w:cs="Arial"/>
                                  <w:color w:val="000000"/>
                                  <w:sz w:val="21"/>
                                  <w:szCs w:val="21"/>
                                </w:rPr>
                                <w:lastRenderedPageBreak/>
                                <w:t>werkdruk in de bedrijven laten verrichten. De uitkomsten hiervan worden met vakbonden en de or/pv besproken.</w:t>
                              </w:r>
                              <w:r>
                                <w:rPr>
                                  <w:rFonts w:ascii="Arial" w:eastAsia="Times New Roman" w:hAnsi="Arial" w:cs="Arial"/>
                                  <w:color w:val="000000"/>
                                  <w:sz w:val="21"/>
                                  <w:szCs w:val="21"/>
                                </w:rPr>
                                <w:br/>
                              </w:r>
                              <w:r>
                                <w:rPr>
                                  <w:rFonts w:ascii="Arial" w:eastAsia="Times New Roman" w:hAnsi="Arial" w:cs="Arial"/>
                                  <w:color w:val="000000"/>
                                  <w:sz w:val="21"/>
                                  <w:szCs w:val="21"/>
                                </w:rPr>
                                <w:br/>
                                <w:t>7. Generatiepact en maatregelen om gezond de eindstreep halen</w:t>
                              </w:r>
                              <w:r>
                                <w:rPr>
                                  <w:rFonts w:ascii="Arial" w:eastAsia="Times New Roman" w:hAnsi="Arial" w:cs="Arial"/>
                                  <w:color w:val="000000"/>
                                  <w:sz w:val="21"/>
                                  <w:szCs w:val="21"/>
                                </w:rPr>
                                <w:br/>
                                <w:t>a. Wij stellen voor afspraken te maken over het aanbieden van de RVU-regeling aan werknemers en dit op te nemen in de cao.</w:t>
                              </w:r>
                              <w:r>
                                <w:rPr>
                                  <w:rFonts w:ascii="Arial" w:eastAsia="Times New Roman" w:hAnsi="Arial" w:cs="Arial"/>
                                  <w:color w:val="000000"/>
                                  <w:sz w:val="21"/>
                                  <w:szCs w:val="21"/>
                                </w:rPr>
                                <w:br/>
                                <w:t>b. Daarnaast willen wij afspraken maken over het naar het pensioen begeleiden van de oudere werknemer. Een concrete maatregel is om een zogenaamde 80-90-100 maatregel in te voeren.</w:t>
                              </w:r>
                              <w:r>
                                <w:rPr>
                                  <w:rFonts w:ascii="Arial" w:eastAsia="Times New Roman" w:hAnsi="Arial" w:cs="Arial"/>
                                  <w:color w:val="000000"/>
                                  <w:sz w:val="21"/>
                                  <w:szCs w:val="21"/>
                                </w:rPr>
                                <w:br/>
                              </w:r>
                              <w:r>
                                <w:rPr>
                                  <w:rFonts w:ascii="Arial" w:eastAsia="Times New Roman" w:hAnsi="Arial" w:cs="Arial"/>
                                  <w:color w:val="000000"/>
                                  <w:sz w:val="21"/>
                                  <w:szCs w:val="21"/>
                                </w:rPr>
                                <w:br/>
                                <w:t xml:space="preserve">8. Reiskostenvergoeding </w:t>
                              </w:r>
                              <w:r>
                                <w:rPr>
                                  <w:rFonts w:ascii="Arial" w:eastAsia="Times New Roman" w:hAnsi="Arial" w:cs="Arial"/>
                                  <w:color w:val="000000"/>
                                  <w:sz w:val="21"/>
                                  <w:szCs w:val="21"/>
                                </w:rPr>
                                <w:br/>
                                <w:t>Wij gaan ervan uit dat de volledige kosten van het openbaar vervoer worden vergoed. Verder stellen wij voor de maximale vergoeding van 0,23 eurocent per kilometer per januari 2024 af te speken voor de werknemers die met eigen vervoer komen. Daarnaast willen we voor de jaren erna dat de maximale fiscale vrijgestelde vergoeding toegepast wordt.</w:t>
                              </w:r>
                              <w:r>
                                <w:rPr>
                                  <w:rFonts w:ascii="Arial" w:eastAsia="Times New Roman" w:hAnsi="Arial" w:cs="Arial"/>
                                  <w:color w:val="000000"/>
                                  <w:sz w:val="21"/>
                                  <w:szCs w:val="21"/>
                                </w:rPr>
                                <w:br/>
                                <w:t xml:space="preserve">Ook stellen wij voor om de maximering van het aantal kilometers uit de cao te verwijderen. </w:t>
                              </w:r>
                            </w:p>
                            <w:p w14:paraId="475E9DB4" w14:textId="77777777" w:rsidR="00C927F3" w:rsidRDefault="00C927F3">
                              <w:pPr>
                                <w:pStyle w:val="Normaalweb"/>
                                <w:spacing w:line="270" w:lineRule="atLeast"/>
                                <w:rPr>
                                  <w:rFonts w:ascii="Arial" w:hAnsi="Arial" w:cs="Arial"/>
                                  <w:color w:val="000000"/>
                                  <w:sz w:val="21"/>
                                  <w:szCs w:val="21"/>
                                </w:rPr>
                              </w:pPr>
                              <w:r>
                                <w:rPr>
                                  <w:rFonts w:ascii="Arial" w:hAnsi="Arial" w:cs="Arial"/>
                                  <w:color w:val="000000"/>
                                  <w:sz w:val="21"/>
                                  <w:szCs w:val="21"/>
                                </w:rPr>
                                <w:t>9. Stagevergoeding</w:t>
                              </w:r>
                              <w:r>
                                <w:rPr>
                                  <w:rFonts w:ascii="Arial" w:hAnsi="Arial" w:cs="Arial"/>
                                  <w:color w:val="000000"/>
                                  <w:sz w:val="21"/>
                                  <w:szCs w:val="21"/>
                                </w:rPr>
                                <w:br/>
                                <w:t>CNV wil graag afspraken maken over de stagevergoeding die vervolgens jaarlijks meestijgt met de prijsindexatie.</w:t>
                              </w:r>
                            </w:p>
                            <w:p w14:paraId="13D4D856" w14:textId="77777777" w:rsidR="00C927F3" w:rsidRDefault="00C927F3">
                              <w:pPr>
                                <w:spacing w:line="270" w:lineRule="atLeast"/>
                                <w:rPr>
                                  <w:rFonts w:ascii="Arial" w:eastAsia="Times New Roman" w:hAnsi="Arial" w:cs="Arial"/>
                                  <w:color w:val="000000"/>
                                  <w:sz w:val="21"/>
                                  <w:szCs w:val="21"/>
                                </w:rPr>
                              </w:pPr>
                              <w:r>
                                <w:rPr>
                                  <w:rFonts w:ascii="Arial" w:eastAsia="Times New Roman" w:hAnsi="Arial" w:cs="Arial"/>
                                  <w:color w:val="000000"/>
                                  <w:sz w:val="21"/>
                                  <w:szCs w:val="21"/>
                                </w:rPr>
                                <w:t>10. Werkgeversbijdrage</w:t>
                              </w:r>
                              <w:r>
                                <w:rPr>
                                  <w:rFonts w:ascii="Arial" w:eastAsia="Times New Roman" w:hAnsi="Arial" w:cs="Arial"/>
                                  <w:color w:val="000000"/>
                                  <w:sz w:val="21"/>
                                  <w:szCs w:val="21"/>
                                </w:rPr>
                                <w:br/>
                                <w:t xml:space="preserve">CNV wenst de afspraken rondom de werkgeversbijdrage te continueren volgens de AWVN-norm. </w:t>
                              </w:r>
                            </w:p>
                            <w:p w14:paraId="677C1BD4" w14:textId="77777777" w:rsidR="00C927F3" w:rsidRDefault="00C927F3">
                              <w:pPr>
                                <w:pStyle w:val="Normaalweb"/>
                                <w:spacing w:line="270" w:lineRule="atLeast"/>
                                <w:rPr>
                                  <w:rFonts w:ascii="Arial" w:hAnsi="Arial" w:cs="Arial"/>
                                  <w:color w:val="000000"/>
                                  <w:sz w:val="21"/>
                                  <w:szCs w:val="21"/>
                                </w:rPr>
                              </w:pPr>
                              <w:r>
                                <w:rPr>
                                  <w:rFonts w:ascii="Arial" w:hAnsi="Arial" w:cs="Arial"/>
                                  <w:color w:val="000000"/>
                                  <w:sz w:val="21"/>
                                  <w:szCs w:val="21"/>
                                </w:rPr>
                                <w:t>CNV behoudt zich het recht voor om tijdens de onderhandelingen met aangepaste, aanvullende en/of nieuwe voorstellen te komen, of voorstellen in te trekken.</w:t>
                              </w:r>
                            </w:p>
                            <w:p w14:paraId="1F4483E3" w14:textId="77777777" w:rsidR="00C927F3" w:rsidRDefault="00C927F3">
                              <w:pPr>
                                <w:pStyle w:val="Normaalweb"/>
                                <w:spacing w:line="270" w:lineRule="atLeast"/>
                                <w:rPr>
                                  <w:rFonts w:ascii="Arial" w:hAnsi="Arial" w:cs="Arial"/>
                                  <w:color w:val="000000"/>
                                  <w:sz w:val="21"/>
                                  <w:szCs w:val="21"/>
                                </w:rPr>
                              </w:pPr>
                              <w:r>
                                <w:rPr>
                                  <w:rFonts w:ascii="Arial" w:hAnsi="Arial" w:cs="Arial"/>
                                  <w:color w:val="000000"/>
                                  <w:sz w:val="21"/>
                                  <w:szCs w:val="21"/>
                                </w:rPr>
                                <w:t>Evert Bosch, kaderlid</w:t>
                              </w:r>
                              <w:r>
                                <w:rPr>
                                  <w:rFonts w:ascii="Arial" w:hAnsi="Arial" w:cs="Arial"/>
                                  <w:color w:val="000000"/>
                                  <w:sz w:val="21"/>
                                  <w:szCs w:val="21"/>
                                </w:rPr>
                                <w:br/>
                                <w:t xml:space="preserve">Chris </w:t>
                              </w:r>
                              <w:proofErr w:type="spellStart"/>
                              <w:r>
                                <w:rPr>
                                  <w:rFonts w:ascii="Arial" w:hAnsi="Arial" w:cs="Arial"/>
                                  <w:color w:val="000000"/>
                                  <w:sz w:val="21"/>
                                  <w:szCs w:val="21"/>
                                </w:rPr>
                                <w:t>Cuperus</w:t>
                              </w:r>
                              <w:proofErr w:type="spellEnd"/>
                              <w:r>
                                <w:rPr>
                                  <w:rFonts w:ascii="Arial" w:hAnsi="Arial" w:cs="Arial"/>
                                  <w:color w:val="000000"/>
                                  <w:sz w:val="21"/>
                                  <w:szCs w:val="21"/>
                                </w:rPr>
                                <w:t>, Adviseur CNV Overheid en Publieke Diensten</w:t>
                              </w:r>
                              <w:r>
                                <w:rPr>
                                  <w:rFonts w:ascii="Arial" w:hAnsi="Arial" w:cs="Arial"/>
                                  <w:color w:val="000000"/>
                                  <w:sz w:val="21"/>
                                  <w:szCs w:val="21"/>
                                </w:rPr>
                                <w:br/>
                                <w:t>Miriam Doeschot, Bestuurder CNV Overheid en Publieke Diensten</w:t>
                              </w:r>
                            </w:p>
                          </w:tc>
                        </w:tr>
                        <w:tr w:rsidR="00C927F3" w14:paraId="017B947F" w14:textId="77777777">
                          <w:trPr>
                            <w:tblCellSpacing w:w="0" w:type="dxa"/>
                          </w:trPr>
                          <w:tc>
                            <w:tcPr>
                              <w:tcW w:w="0" w:type="auto"/>
                              <w:tcMar>
                                <w:top w:w="0" w:type="dxa"/>
                                <w:left w:w="0" w:type="dxa"/>
                                <w:bottom w:w="300" w:type="dxa"/>
                                <w:right w:w="0" w:type="dxa"/>
                              </w:tcMar>
                              <w:vAlign w:val="center"/>
                              <w:hideMark/>
                            </w:tcPr>
                            <w:p w14:paraId="49EC18AD" w14:textId="77777777" w:rsidR="00C927F3" w:rsidRDefault="00C927F3">
                              <w:pPr>
                                <w:rPr>
                                  <w:rFonts w:ascii="Arial" w:hAnsi="Arial" w:cs="Arial"/>
                                  <w:color w:val="000000"/>
                                  <w:sz w:val="21"/>
                                  <w:szCs w:val="21"/>
                                </w:rPr>
                              </w:pPr>
                            </w:p>
                          </w:tc>
                        </w:tr>
                      </w:tbl>
                      <w:p w14:paraId="7CFC71F9" w14:textId="77777777" w:rsidR="00C927F3" w:rsidRDefault="00C927F3">
                        <w:pPr>
                          <w:rPr>
                            <w:rFonts w:ascii="Times New Roman" w:eastAsia="Times New Roman" w:hAnsi="Times New Roman" w:cs="Times New Roman"/>
                            <w:sz w:val="20"/>
                            <w:szCs w:val="20"/>
                          </w:rPr>
                        </w:pPr>
                      </w:p>
                    </w:tc>
                  </w:tr>
                </w:tbl>
                <w:p w14:paraId="435F6B95" w14:textId="77777777" w:rsidR="00C927F3" w:rsidRDefault="00C927F3">
                  <w:pPr>
                    <w:jc w:val="center"/>
                    <w:rPr>
                      <w:rFonts w:ascii="Times New Roman" w:eastAsia="Times New Roman" w:hAnsi="Times New Roman" w:cs="Times New Roman"/>
                      <w:sz w:val="20"/>
                      <w:szCs w:val="20"/>
                    </w:rPr>
                  </w:pPr>
                </w:p>
              </w:tc>
            </w:tr>
          </w:tbl>
          <w:p w14:paraId="5BF61EBF" w14:textId="77777777" w:rsidR="00C927F3" w:rsidRDefault="00C927F3">
            <w:pPr>
              <w:rPr>
                <w:rFonts w:ascii="Times New Roman" w:eastAsia="Times New Roman" w:hAnsi="Times New Roman" w:cs="Times New Roman"/>
                <w:sz w:val="20"/>
                <w:szCs w:val="20"/>
              </w:rPr>
            </w:pPr>
          </w:p>
        </w:tc>
      </w:tr>
    </w:tbl>
    <w:p w14:paraId="4B758E9C" w14:textId="77777777" w:rsidR="00E829E6" w:rsidRDefault="00E829E6"/>
    <w:sectPr w:rsidR="00E829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raphik Regular">
    <w:panose1 w:val="020B0503030202060203"/>
    <w:charset w:val="00"/>
    <w:family w:val="swiss"/>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7F3"/>
    <w:rsid w:val="003E0098"/>
    <w:rsid w:val="009411A1"/>
    <w:rsid w:val="00C927F3"/>
    <w:rsid w:val="00E829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DCD68"/>
  <w15:chartTrackingRefBased/>
  <w15:docId w15:val="{690F36E2-657F-4D7C-A1B0-DB01C04BC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raphik Regular" w:eastAsiaTheme="minorHAnsi" w:hAnsi="Graphik Regular" w:cstheme="minorBidi"/>
        <w:kern w:val="2"/>
        <w:sz w:val="18"/>
        <w:szCs w:val="24"/>
        <w:lang w:val="nl-N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27F3"/>
    <w:pPr>
      <w:spacing w:after="0" w:line="240" w:lineRule="auto"/>
    </w:pPr>
    <w:rPr>
      <w:rFonts w:ascii="Calibri" w:hAnsi="Calibri" w:cs="Calibri"/>
      <w:kern w:val="0"/>
      <w:sz w:val="22"/>
      <w:szCs w:val="22"/>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927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70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Graphik Regular">
      <a:majorFont>
        <a:latin typeface="Graphik Regular"/>
        <a:ea typeface=""/>
        <a:cs typeface=""/>
      </a:majorFont>
      <a:minorFont>
        <a:latin typeface="Graphik 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faa0aed-6c99-40ce-9061-57ff6481ec14"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4281E4D7EE872B4AA0AD4F87DD5B61DD" ma:contentTypeVersion="20" ma:contentTypeDescription="Create a new document." ma:contentTypeScope="" ma:versionID="3112e41678746d8278b1a687c7235808">
  <xsd:schema xmlns:xsd="http://www.w3.org/2001/XMLSchema" xmlns:xs="http://www.w3.org/2001/XMLSchema" xmlns:p="http://schemas.microsoft.com/office/2006/metadata/properties" xmlns:ns2="6d36cc37-af27-4bf5-8ed9-16402821aa79" xmlns:ns3="9a1ceac1-2147-4ffa-ada4-eb0c519aaed5" xmlns:ns4="407837f6-b457-46b3-8c00-a18d383e1eb7" targetNamespace="http://schemas.microsoft.com/office/2006/metadata/properties" ma:root="true" ma:fieldsID="046e0b401776d5c0017647fc1274bb55" ns2:_="" ns3:_="" ns4:_="">
    <xsd:import namespace="6d36cc37-af27-4bf5-8ed9-16402821aa79"/>
    <xsd:import namespace="9a1ceac1-2147-4ffa-ada4-eb0c519aaed5"/>
    <xsd:import namespace="407837f6-b457-46b3-8c00-a18d383e1e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2:MediaLengthInSeconds" minOccurs="0"/>
                <xsd:element ref="ns2:lcf76f155ced4ddcb4097134ff3c332f" minOccurs="0"/>
                <xsd:element ref="ns4:TaxCatchAll" minOccurs="0"/>
                <xsd:element ref="ns2:ValidSignStatus" minOccurs="0"/>
                <xsd:element ref="ns2:ValidSignTransactionId"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6cc37-af27-4bf5-8ed9-16402821aa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faa0aed-6c99-40ce-9061-57ff6481ec14" ma:termSetId="09814cd3-568e-fe90-9814-8d621ff8fb84" ma:anchorId="fba54fb3-c3e1-fe81-a776-ca4b69148c4d" ma:open="true" ma:isKeyword="false">
      <xsd:complexType>
        <xsd:sequence>
          <xsd:element ref="pc:Terms" minOccurs="0" maxOccurs="1"/>
        </xsd:sequence>
      </xsd:complexType>
    </xsd:element>
    <xsd:element name="ValidSignStatus" ma:index="22" nillable="true" ma:displayName="ValidSignStatus" ma:indexed="true" ma:internalName="ValidSignStatus">
      <xsd:simpleType>
        <xsd:restriction base="dms:Text">
          <xsd:maxLength value="255"/>
        </xsd:restriction>
      </xsd:simpleType>
    </xsd:element>
    <xsd:element name="ValidSignTransactionId" ma:index="23" nillable="true" ma:displayName="ValidSignTransactionId" ma:indexed="true" ma:internalName="ValidSignTransactionId">
      <xsd:simpleType>
        <xsd:restriction base="dms:Text">
          <xsd:maxLength value="255"/>
        </xsd:restrictio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1ceac1-2147-4ffa-ada4-eb0c519aaed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7837f6-b457-46b3-8c00-a18d383e1eb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a1dd1f1-44bd-4e3b-815b-5c7c78655133}" ma:internalName="TaxCatchAll" ma:showField="CatchAllData" ma:web="9a1ceac1-2147-4ffa-ada4-eb0c519aae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8C583B-F983-4EE1-8195-4D8F5D668D02}">
  <ds:schemaRefs>
    <ds:schemaRef ds:uri="http://schemas.microsoft.com/sharepoint/v3/contenttype/forms"/>
  </ds:schemaRefs>
</ds:datastoreItem>
</file>

<file path=customXml/itemProps2.xml><?xml version="1.0" encoding="utf-8"?>
<ds:datastoreItem xmlns:ds="http://schemas.openxmlformats.org/officeDocument/2006/customXml" ds:itemID="{3E119A75-6254-4ED4-AE62-DBA1F02B6CED}">
  <ds:schemaRefs>
    <ds:schemaRef ds:uri="Microsoft.SharePoint.Taxonomy.ContentTypeSync"/>
  </ds:schemaRefs>
</ds:datastoreItem>
</file>

<file path=customXml/itemProps3.xml><?xml version="1.0" encoding="utf-8"?>
<ds:datastoreItem xmlns:ds="http://schemas.openxmlformats.org/officeDocument/2006/customXml" ds:itemID="{5860C38A-A919-4669-A1AE-F84C78522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6cc37-af27-4bf5-8ed9-16402821aa79"/>
    <ds:schemaRef ds:uri="9a1ceac1-2147-4ffa-ada4-eb0c519aaed5"/>
    <ds:schemaRef ds:uri="407837f6-b457-46b3-8c00-a18d383e1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584</Words>
  <Characters>3212</Characters>
  <Application>Microsoft Office Word</Application>
  <DocSecurity>0</DocSecurity>
  <Lines>26</Lines>
  <Paragraphs>7</Paragraphs>
  <ScaleCrop>false</ScaleCrop>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Magnee</dc:creator>
  <cp:keywords/>
  <dc:description/>
  <cp:lastModifiedBy>Peter Magnee</cp:lastModifiedBy>
  <cp:revision>1</cp:revision>
  <dcterms:created xsi:type="dcterms:W3CDTF">2024-04-07T10:29:00Z</dcterms:created>
  <dcterms:modified xsi:type="dcterms:W3CDTF">2024-04-07T10:40:00Z</dcterms:modified>
</cp:coreProperties>
</file>